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5A5B" w14:textId="77777777" w:rsidR="00DC1344" w:rsidRDefault="00DC1344"/>
    <w:p w14:paraId="17D71619" w14:textId="77777777" w:rsidR="00DC1344" w:rsidRPr="00F1199C" w:rsidRDefault="00000000">
      <w:pPr>
        <w:jc w:val="center"/>
        <w:rPr>
          <w:b/>
          <w:sz w:val="32"/>
          <w:szCs w:val="32"/>
          <w:lang w:val="en-GB"/>
        </w:rPr>
      </w:pPr>
      <w:r w:rsidRPr="00F1199C">
        <w:rPr>
          <w:b/>
          <w:sz w:val="32"/>
          <w:szCs w:val="32"/>
          <w:lang w:val="en-GB"/>
        </w:rPr>
        <w:t>Model for the documentation of a processing activity</w:t>
      </w:r>
      <w:r w:rsidRPr="00F1199C">
        <w:rPr>
          <w:b/>
          <w:sz w:val="32"/>
          <w:szCs w:val="32"/>
          <w:lang w:val="en-GB"/>
        </w:rPr>
        <w:br/>
        <w:t>pursuant to Article 30 GDPR</w:t>
      </w:r>
    </w:p>
    <w:p w14:paraId="31778A09" w14:textId="77777777" w:rsidR="00DC1344" w:rsidRPr="00F1199C" w:rsidRDefault="00DC1344">
      <w:pPr>
        <w:rPr>
          <w:lang w:val="en-GB"/>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9"/>
        <w:gridCol w:w="6333"/>
      </w:tblGrid>
      <w:tr w:rsidR="00DC1344" w:rsidRPr="000E2AE2" w14:paraId="78A9AB55" w14:textId="77777777">
        <w:tc>
          <w:tcPr>
            <w:tcW w:w="2729" w:type="dxa"/>
          </w:tcPr>
          <w:p w14:paraId="51F743A6" w14:textId="77777777" w:rsidR="00DC1344" w:rsidRPr="00F1199C" w:rsidRDefault="00000000">
            <w:pPr>
              <w:rPr>
                <w:lang w:val="en-GB"/>
              </w:rPr>
            </w:pPr>
            <w:r w:rsidRPr="00F1199C">
              <w:rPr>
                <w:b/>
                <w:lang w:val="en-GB"/>
              </w:rPr>
              <w:t>Description of the processing activity</w:t>
            </w:r>
          </w:p>
        </w:tc>
        <w:tc>
          <w:tcPr>
            <w:tcW w:w="6333" w:type="dxa"/>
          </w:tcPr>
          <w:p w14:paraId="15EB22FB" w14:textId="77777777" w:rsidR="00DC1344" w:rsidRPr="00F1199C" w:rsidRDefault="00000000">
            <w:pPr>
              <w:rPr>
                <w:i/>
                <w:lang w:val="en-GB"/>
              </w:rPr>
            </w:pPr>
            <w:r w:rsidRPr="00F1199C">
              <w:rPr>
                <w:i/>
                <w:highlight w:val="yellow"/>
                <w:lang w:val="en-GB"/>
              </w:rPr>
              <w:t>The name should briefly and concisely describe which processing is meant. Examples: Personnel administration, accounting, administration of project data, handling of application data, project management, organisation of training courses, etc</w:t>
            </w:r>
            <w:r w:rsidRPr="00F1199C">
              <w:rPr>
                <w:i/>
                <w:lang w:val="en-GB"/>
              </w:rPr>
              <w:t xml:space="preserve">. </w:t>
            </w:r>
          </w:p>
        </w:tc>
      </w:tr>
      <w:tr w:rsidR="00DC1344" w:rsidRPr="000E2AE2" w14:paraId="3A6868CE" w14:textId="77777777">
        <w:tc>
          <w:tcPr>
            <w:tcW w:w="2729" w:type="dxa"/>
          </w:tcPr>
          <w:p w14:paraId="201EC5E8" w14:textId="77777777" w:rsidR="00DC1344" w:rsidRDefault="00000000">
            <w:r>
              <w:rPr>
                <w:b/>
              </w:rPr>
              <w:t>Purpose of the processing</w:t>
            </w:r>
          </w:p>
        </w:tc>
        <w:tc>
          <w:tcPr>
            <w:tcW w:w="6333" w:type="dxa"/>
          </w:tcPr>
          <w:p w14:paraId="579B09A8" w14:textId="77777777" w:rsidR="00DC1344" w:rsidRPr="00F1199C" w:rsidRDefault="00000000">
            <w:pPr>
              <w:rPr>
                <w:i/>
                <w:highlight w:val="yellow"/>
                <w:lang w:val="en-GB"/>
              </w:rPr>
            </w:pPr>
            <w:r w:rsidRPr="00F1199C">
              <w:rPr>
                <w:i/>
                <w:highlight w:val="yellow"/>
                <w:lang w:val="en-GB"/>
              </w:rPr>
              <w:t>Why do you process the data? What is the purpose of the processing?</w:t>
            </w:r>
          </w:p>
          <w:p w14:paraId="71CE4A98" w14:textId="77777777" w:rsidR="00DC1344" w:rsidRDefault="00000000">
            <w:pPr>
              <w:rPr>
                <w:i/>
                <w:highlight w:val="yellow"/>
              </w:rPr>
            </w:pPr>
            <w:r>
              <w:rPr>
                <w:i/>
                <w:highlight w:val="yellow"/>
              </w:rPr>
              <w:t xml:space="preserve">Examples: </w:t>
            </w:r>
          </w:p>
          <w:p w14:paraId="12109DE3" w14:textId="77777777" w:rsidR="00DC1344" w:rsidRPr="00F1199C" w:rsidRDefault="00000000">
            <w:pPr>
              <w:numPr>
                <w:ilvl w:val="0"/>
                <w:numId w:val="6"/>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Data processing in the employment context</w:t>
            </w:r>
          </w:p>
          <w:p w14:paraId="2285B9E6" w14:textId="77777777" w:rsidR="00DC1344" w:rsidRPr="00F1199C" w:rsidRDefault="00000000">
            <w:pPr>
              <w:numPr>
                <w:ilvl w:val="0"/>
                <w:numId w:val="6"/>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 xml:space="preserve">Ensuring the </w:t>
            </w:r>
            <w:r w:rsidRPr="00F1199C">
              <w:rPr>
                <w:i/>
                <w:highlight w:val="yellow"/>
                <w:lang w:val="en-GB"/>
              </w:rPr>
              <w:t xml:space="preserve">operation of the organisation or </w:t>
            </w:r>
            <w:r w:rsidRPr="00F1199C">
              <w:rPr>
                <w:i/>
                <w:color w:val="000000"/>
                <w:highlight w:val="yellow"/>
                <w:lang w:val="en-GB"/>
              </w:rPr>
              <w:t xml:space="preserve">company </w:t>
            </w:r>
          </w:p>
          <w:p w14:paraId="7F397B60" w14:textId="77777777" w:rsidR="00DC1344" w:rsidRDefault="00000000">
            <w:pPr>
              <w:numPr>
                <w:ilvl w:val="0"/>
                <w:numId w:val="6"/>
              </w:numPr>
              <w:pBdr>
                <w:top w:val="nil"/>
                <w:left w:val="nil"/>
                <w:bottom w:val="nil"/>
                <w:right w:val="nil"/>
                <w:between w:val="nil"/>
              </w:pBdr>
              <w:spacing w:line="259" w:lineRule="auto"/>
              <w:rPr>
                <w:i/>
                <w:color w:val="000000"/>
                <w:highlight w:val="yellow"/>
              </w:rPr>
            </w:pPr>
            <w:r>
              <w:rPr>
                <w:i/>
                <w:color w:val="000000"/>
                <w:highlight w:val="yellow"/>
              </w:rPr>
              <w:t xml:space="preserve">Ensuring general safety measures </w:t>
            </w:r>
          </w:p>
          <w:p w14:paraId="5B3F155F" w14:textId="77777777" w:rsidR="00DC1344" w:rsidRPr="00F1199C" w:rsidRDefault="00000000">
            <w:pPr>
              <w:numPr>
                <w:ilvl w:val="0"/>
                <w:numId w:val="6"/>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 xml:space="preserve">Provision of infrastructure for the </w:t>
            </w:r>
            <w:r w:rsidRPr="00F1199C">
              <w:rPr>
                <w:i/>
                <w:highlight w:val="yellow"/>
                <w:lang w:val="en-GB"/>
              </w:rPr>
              <w:t>operation of the organisation or company</w:t>
            </w:r>
          </w:p>
          <w:p w14:paraId="1E23D553" w14:textId="77777777" w:rsidR="00DC1344" w:rsidRPr="00F1199C" w:rsidRDefault="00000000">
            <w:pPr>
              <w:numPr>
                <w:ilvl w:val="0"/>
                <w:numId w:val="6"/>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Establishment, execution or termination of purchase or service contracts</w:t>
            </w:r>
          </w:p>
          <w:p w14:paraId="5FBB95A3" w14:textId="77777777" w:rsidR="00DC1344" w:rsidRPr="00F1199C" w:rsidRDefault="00000000">
            <w:pPr>
              <w:numPr>
                <w:ilvl w:val="0"/>
                <w:numId w:val="6"/>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Manufacture of products and services</w:t>
            </w:r>
          </w:p>
        </w:tc>
      </w:tr>
      <w:tr w:rsidR="00DC1344" w:rsidRPr="000E2AE2" w14:paraId="180755E7" w14:textId="77777777">
        <w:tc>
          <w:tcPr>
            <w:tcW w:w="2729" w:type="dxa"/>
          </w:tcPr>
          <w:p w14:paraId="52897177" w14:textId="77777777" w:rsidR="00DC1344" w:rsidRDefault="00000000">
            <w:r>
              <w:t>Responsible department</w:t>
            </w:r>
          </w:p>
        </w:tc>
        <w:tc>
          <w:tcPr>
            <w:tcW w:w="6333" w:type="dxa"/>
          </w:tcPr>
          <w:p w14:paraId="7DD2B8C5" w14:textId="77777777" w:rsidR="00DC1344" w:rsidRPr="00F1199C" w:rsidRDefault="00000000">
            <w:pPr>
              <w:rPr>
                <w:i/>
                <w:lang w:val="en-GB"/>
              </w:rPr>
            </w:pPr>
            <w:r w:rsidRPr="00F1199C">
              <w:rPr>
                <w:i/>
                <w:highlight w:val="yellow"/>
                <w:lang w:val="en-GB"/>
              </w:rPr>
              <w:t>Which department in your organisation or company is responsible for processing</w:t>
            </w:r>
            <w:r w:rsidRPr="00F1199C">
              <w:rPr>
                <w:i/>
                <w:lang w:val="en-GB"/>
              </w:rPr>
              <w:t xml:space="preserve">? </w:t>
            </w:r>
          </w:p>
        </w:tc>
      </w:tr>
      <w:tr w:rsidR="00DC1344" w:rsidRPr="000E2AE2" w14:paraId="1732E717" w14:textId="77777777">
        <w:tc>
          <w:tcPr>
            <w:tcW w:w="2729" w:type="dxa"/>
          </w:tcPr>
          <w:p w14:paraId="6C774DF7" w14:textId="77777777" w:rsidR="00DC1344" w:rsidRDefault="00000000">
            <w:r>
              <w:t>Contact person</w:t>
            </w:r>
          </w:p>
        </w:tc>
        <w:tc>
          <w:tcPr>
            <w:tcW w:w="6333" w:type="dxa"/>
          </w:tcPr>
          <w:p w14:paraId="37F6EEC6" w14:textId="77777777" w:rsidR="00DC1344" w:rsidRPr="00F1199C" w:rsidRDefault="00000000">
            <w:pPr>
              <w:spacing w:line="259" w:lineRule="auto"/>
              <w:rPr>
                <w:lang w:val="en-GB"/>
              </w:rPr>
            </w:pPr>
            <w:r w:rsidRPr="00F1199C">
              <w:rPr>
                <w:i/>
                <w:highlight w:val="yellow"/>
                <w:lang w:val="en-GB"/>
              </w:rPr>
              <w:t>Appoint an internal contact person or the person responsible for the process (business process owner).</w:t>
            </w:r>
          </w:p>
        </w:tc>
      </w:tr>
      <w:tr w:rsidR="00DC1344" w:rsidRPr="000E2AE2" w14:paraId="5F199434" w14:textId="77777777">
        <w:tc>
          <w:tcPr>
            <w:tcW w:w="2729" w:type="dxa"/>
          </w:tcPr>
          <w:p w14:paraId="16D829EF" w14:textId="77777777" w:rsidR="00DC1344" w:rsidRDefault="00000000">
            <w:r>
              <w:t>Process description</w:t>
            </w:r>
          </w:p>
        </w:tc>
        <w:tc>
          <w:tcPr>
            <w:tcW w:w="6333" w:type="dxa"/>
          </w:tcPr>
          <w:p w14:paraId="7DCD81B9" w14:textId="77777777" w:rsidR="00DC1344" w:rsidRPr="00F1199C" w:rsidRDefault="00000000">
            <w:pPr>
              <w:rPr>
                <w:i/>
                <w:highlight w:val="yellow"/>
                <w:lang w:val="en-GB"/>
              </w:rPr>
            </w:pPr>
            <w:r w:rsidRPr="00F1199C">
              <w:rPr>
                <w:i/>
                <w:highlight w:val="yellow"/>
                <w:lang w:val="en-GB"/>
              </w:rPr>
              <w:t>Brief description of the processing. (optional)</w:t>
            </w:r>
          </w:p>
          <w:p w14:paraId="4FF6967C" w14:textId="77777777" w:rsidR="00DC1344" w:rsidRPr="00F1199C" w:rsidRDefault="00000000">
            <w:pPr>
              <w:rPr>
                <w:i/>
                <w:lang w:val="en-GB"/>
              </w:rPr>
            </w:pPr>
            <w:r w:rsidRPr="00F1199C">
              <w:rPr>
                <w:i/>
                <w:highlight w:val="yellow"/>
                <w:lang w:val="en-GB"/>
              </w:rPr>
              <w:t>Describes the internal process in brief. This is only for illustration and better understanding.</w:t>
            </w:r>
          </w:p>
          <w:p w14:paraId="41F7EBB0" w14:textId="77777777" w:rsidR="00DC1344" w:rsidRPr="00F1199C" w:rsidRDefault="00DC1344">
            <w:pPr>
              <w:rPr>
                <w:lang w:val="en-GB"/>
              </w:rPr>
            </w:pPr>
          </w:p>
        </w:tc>
      </w:tr>
      <w:tr w:rsidR="00DC1344" w14:paraId="44B8D747" w14:textId="77777777">
        <w:tc>
          <w:tcPr>
            <w:tcW w:w="2729" w:type="dxa"/>
          </w:tcPr>
          <w:p w14:paraId="735783DA" w14:textId="77777777" w:rsidR="00DC1344" w:rsidRDefault="00000000">
            <w:r>
              <w:t>Groups of people affected</w:t>
            </w:r>
          </w:p>
        </w:tc>
        <w:tc>
          <w:tcPr>
            <w:tcW w:w="6333" w:type="dxa"/>
          </w:tcPr>
          <w:p w14:paraId="7F6A30C9" w14:textId="77777777" w:rsidR="00DC1344" w:rsidRPr="00F1199C" w:rsidRDefault="00000000">
            <w:pPr>
              <w:rPr>
                <w:i/>
                <w:highlight w:val="yellow"/>
                <w:lang w:val="en-GB"/>
              </w:rPr>
            </w:pPr>
            <w:r w:rsidRPr="00F1199C">
              <w:rPr>
                <w:i/>
                <w:highlight w:val="yellow"/>
                <w:lang w:val="en-GB"/>
              </w:rPr>
              <w:t xml:space="preserve">List the categories of persons affected by the processing. Possible categories are e.g. </w:t>
            </w:r>
          </w:p>
          <w:p w14:paraId="27DE931F" w14:textId="77777777" w:rsidR="00DC1344" w:rsidRDefault="00000000">
            <w:pPr>
              <w:numPr>
                <w:ilvl w:val="0"/>
                <w:numId w:val="3"/>
              </w:numPr>
              <w:pBdr>
                <w:top w:val="nil"/>
                <w:left w:val="nil"/>
                <w:bottom w:val="nil"/>
                <w:right w:val="nil"/>
                <w:between w:val="nil"/>
              </w:pBdr>
              <w:spacing w:line="259" w:lineRule="auto"/>
              <w:rPr>
                <w:i/>
                <w:color w:val="000000"/>
                <w:highlight w:val="yellow"/>
              </w:rPr>
            </w:pPr>
            <w:r>
              <w:rPr>
                <w:i/>
                <w:color w:val="000000"/>
                <w:highlight w:val="yellow"/>
              </w:rPr>
              <w:t xml:space="preserve">Employees </w:t>
            </w:r>
          </w:p>
          <w:p w14:paraId="20BEC8BB" w14:textId="77777777" w:rsidR="00DC1344" w:rsidRDefault="00000000">
            <w:pPr>
              <w:numPr>
                <w:ilvl w:val="0"/>
                <w:numId w:val="3"/>
              </w:numPr>
              <w:pBdr>
                <w:top w:val="nil"/>
                <w:left w:val="nil"/>
                <w:bottom w:val="nil"/>
                <w:right w:val="nil"/>
                <w:between w:val="nil"/>
              </w:pBdr>
              <w:spacing w:line="259" w:lineRule="auto"/>
              <w:rPr>
                <w:i/>
                <w:color w:val="000000"/>
                <w:highlight w:val="yellow"/>
              </w:rPr>
            </w:pPr>
            <w:r>
              <w:rPr>
                <w:i/>
                <w:color w:val="000000"/>
                <w:highlight w:val="yellow"/>
              </w:rPr>
              <w:t xml:space="preserve">Interested parties </w:t>
            </w:r>
          </w:p>
          <w:p w14:paraId="522777D0" w14:textId="77777777" w:rsidR="00DC1344" w:rsidRDefault="00000000">
            <w:pPr>
              <w:numPr>
                <w:ilvl w:val="0"/>
                <w:numId w:val="3"/>
              </w:numPr>
              <w:pBdr>
                <w:top w:val="nil"/>
                <w:left w:val="nil"/>
                <w:bottom w:val="nil"/>
                <w:right w:val="nil"/>
                <w:between w:val="nil"/>
              </w:pBdr>
              <w:spacing w:line="259" w:lineRule="auto"/>
              <w:rPr>
                <w:i/>
                <w:color w:val="000000"/>
                <w:highlight w:val="yellow"/>
              </w:rPr>
            </w:pPr>
            <w:r>
              <w:rPr>
                <w:i/>
                <w:color w:val="000000"/>
                <w:highlight w:val="yellow"/>
              </w:rPr>
              <w:t xml:space="preserve">Suppliers </w:t>
            </w:r>
          </w:p>
          <w:p w14:paraId="4F2C4426" w14:textId="77777777" w:rsidR="00DC1344" w:rsidRDefault="00000000">
            <w:pPr>
              <w:numPr>
                <w:ilvl w:val="0"/>
                <w:numId w:val="3"/>
              </w:numPr>
              <w:pBdr>
                <w:top w:val="nil"/>
                <w:left w:val="nil"/>
                <w:bottom w:val="nil"/>
                <w:right w:val="nil"/>
                <w:between w:val="nil"/>
              </w:pBdr>
              <w:spacing w:line="259" w:lineRule="auto"/>
              <w:rPr>
                <w:i/>
                <w:color w:val="000000"/>
                <w:highlight w:val="yellow"/>
              </w:rPr>
            </w:pPr>
            <w:r>
              <w:rPr>
                <w:i/>
                <w:color w:val="000000"/>
                <w:highlight w:val="yellow"/>
              </w:rPr>
              <w:t xml:space="preserve">Customers </w:t>
            </w:r>
          </w:p>
          <w:p w14:paraId="703F3A9F" w14:textId="77777777" w:rsidR="00DC1344" w:rsidRDefault="00000000">
            <w:pPr>
              <w:numPr>
                <w:ilvl w:val="0"/>
                <w:numId w:val="3"/>
              </w:numPr>
              <w:pBdr>
                <w:top w:val="nil"/>
                <w:left w:val="nil"/>
                <w:bottom w:val="nil"/>
                <w:right w:val="nil"/>
                <w:between w:val="nil"/>
              </w:pBdr>
              <w:spacing w:after="160" w:line="259" w:lineRule="auto"/>
              <w:rPr>
                <w:i/>
                <w:color w:val="000000"/>
                <w:highlight w:val="yellow"/>
              </w:rPr>
            </w:pPr>
            <w:r>
              <w:rPr>
                <w:i/>
                <w:color w:val="000000"/>
                <w:highlight w:val="yellow"/>
              </w:rPr>
              <w:t>...</w:t>
            </w:r>
          </w:p>
        </w:tc>
      </w:tr>
      <w:tr w:rsidR="00DC1344" w14:paraId="3B705DC7" w14:textId="77777777">
        <w:tc>
          <w:tcPr>
            <w:tcW w:w="2729" w:type="dxa"/>
          </w:tcPr>
          <w:p w14:paraId="02279FD4" w14:textId="77777777" w:rsidR="00DC1344" w:rsidRDefault="00000000">
            <w:r>
              <w:t>Categories of data concerned</w:t>
            </w:r>
          </w:p>
        </w:tc>
        <w:tc>
          <w:tcPr>
            <w:tcW w:w="6333" w:type="dxa"/>
          </w:tcPr>
          <w:p w14:paraId="452B441C" w14:textId="77777777" w:rsidR="00DC1344" w:rsidRPr="00F1199C" w:rsidRDefault="00000000">
            <w:pPr>
              <w:rPr>
                <w:i/>
                <w:highlight w:val="yellow"/>
                <w:lang w:val="en-GB"/>
              </w:rPr>
            </w:pPr>
            <w:r w:rsidRPr="00F1199C">
              <w:rPr>
                <w:i/>
                <w:highlight w:val="yellow"/>
                <w:lang w:val="en-GB"/>
              </w:rPr>
              <w:t xml:space="preserve">List the categories of personal data of the data subjects that are processed in the context of this processing. </w:t>
            </w:r>
          </w:p>
          <w:p w14:paraId="27E0B394" w14:textId="77777777" w:rsidR="00DC1344" w:rsidRPr="00F1199C" w:rsidRDefault="00000000">
            <w:pPr>
              <w:rPr>
                <w:i/>
                <w:highlight w:val="yellow"/>
                <w:lang w:val="en-GB"/>
              </w:rPr>
            </w:pPr>
            <w:r w:rsidRPr="00F1199C">
              <w:rPr>
                <w:i/>
                <w:highlight w:val="yellow"/>
                <w:lang w:val="en-GB"/>
              </w:rPr>
              <w:lastRenderedPageBreak/>
              <w:t xml:space="preserve">You should take your time here and carefully consider which data you process from the data subjects. This depends heavily on the processing in question. </w:t>
            </w:r>
          </w:p>
          <w:p w14:paraId="7255F13B" w14:textId="77777777" w:rsidR="00DC1344" w:rsidRPr="00F1199C" w:rsidRDefault="00000000">
            <w:pPr>
              <w:rPr>
                <w:i/>
                <w:highlight w:val="yellow"/>
                <w:lang w:val="en-GB"/>
              </w:rPr>
            </w:pPr>
            <w:r w:rsidRPr="00F1199C">
              <w:rPr>
                <w:i/>
                <w:highlight w:val="yellow"/>
                <w:lang w:val="en-GB"/>
              </w:rPr>
              <w:t>e.g. (Please specify as far as possible)</w:t>
            </w:r>
          </w:p>
          <w:p w14:paraId="661454AD"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Personal master data (e.g. name, date of birth, marital status, etc.)</w:t>
            </w:r>
          </w:p>
          <w:p w14:paraId="35014E95"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Contact details (e.g. postal address, e-mail address, telephone number, etc.)</w:t>
            </w:r>
          </w:p>
          <w:p w14:paraId="0E308CE3"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 xml:space="preserve">Employee master data (e.g. income tax class, </w:t>
            </w:r>
            <w:r w:rsidRPr="00F1199C">
              <w:rPr>
                <w:i/>
                <w:highlight w:val="yellow"/>
                <w:lang w:val="en-GB"/>
              </w:rPr>
              <w:t>personnel number</w:t>
            </w:r>
            <w:r w:rsidRPr="00F1199C">
              <w:rPr>
                <w:i/>
                <w:color w:val="000000"/>
                <w:highlight w:val="yellow"/>
                <w:lang w:val="en-GB"/>
              </w:rPr>
              <w:t>, etc.)</w:t>
            </w:r>
          </w:p>
          <w:p w14:paraId="7799A35F"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Usage data (e.g. surfing behaviour, purchasing behaviour, access data, etc.)</w:t>
            </w:r>
          </w:p>
          <w:p w14:paraId="5C1D7B95"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Contract data (e.g. contract number, contract contents, billing modalities, etc.)</w:t>
            </w:r>
          </w:p>
          <w:p w14:paraId="721AD792"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 xml:space="preserve">Identification features and identification numbers (e.g. identity card number, passport number, tax number, etc.) </w:t>
            </w:r>
          </w:p>
          <w:p w14:paraId="0ACCF115"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 xml:space="preserve">Payroll data for </w:t>
            </w:r>
            <w:r w:rsidRPr="00F1199C">
              <w:rPr>
                <w:i/>
                <w:highlight w:val="yellow"/>
                <w:lang w:val="en-GB"/>
              </w:rPr>
              <w:t xml:space="preserve">personnel </w:t>
            </w:r>
            <w:r w:rsidRPr="00F1199C">
              <w:rPr>
                <w:i/>
                <w:color w:val="000000"/>
                <w:highlight w:val="yellow"/>
                <w:lang w:val="en-GB"/>
              </w:rPr>
              <w:t>(e.g. wages/salary, bonuses, health insurance contributions, other deductions, etc.)</w:t>
            </w:r>
          </w:p>
          <w:p w14:paraId="73495B9D"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Customer data (e.g. conditions, order history, payment behaviour, etc.)</w:t>
            </w:r>
          </w:p>
          <w:p w14:paraId="604C7D96"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Payment data (e.g. bank details, credit card details, etc.)</w:t>
            </w:r>
          </w:p>
          <w:p w14:paraId="717ABE87"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 xml:space="preserve">Application-specific data (e.g. certificates, application documents, etc.) </w:t>
            </w:r>
          </w:p>
          <w:p w14:paraId="0CEC357C"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Supplier data (contact persons and their contact details, etc.)</w:t>
            </w:r>
          </w:p>
          <w:p w14:paraId="5CCC9403" w14:textId="77777777" w:rsidR="00DC1344" w:rsidRPr="00F1199C" w:rsidRDefault="00000000">
            <w:pPr>
              <w:numPr>
                <w:ilvl w:val="0"/>
                <w:numId w:val="4"/>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Imposed data (data that the data subject provides of their own accord)</w:t>
            </w:r>
          </w:p>
          <w:p w14:paraId="2F57193F" w14:textId="77777777" w:rsidR="00DC1344" w:rsidRDefault="00000000">
            <w:pPr>
              <w:numPr>
                <w:ilvl w:val="0"/>
                <w:numId w:val="4"/>
              </w:numPr>
              <w:pBdr>
                <w:top w:val="nil"/>
                <w:left w:val="nil"/>
                <w:bottom w:val="nil"/>
                <w:right w:val="nil"/>
                <w:between w:val="nil"/>
              </w:pBdr>
              <w:spacing w:after="160" w:line="259" w:lineRule="auto"/>
              <w:rPr>
                <w:i/>
                <w:color w:val="000000"/>
                <w:highlight w:val="yellow"/>
              </w:rPr>
            </w:pPr>
            <w:r>
              <w:rPr>
                <w:i/>
                <w:color w:val="000000"/>
                <w:highlight w:val="yellow"/>
              </w:rPr>
              <w:t>....</w:t>
            </w:r>
          </w:p>
        </w:tc>
      </w:tr>
      <w:tr w:rsidR="00DC1344" w:rsidRPr="000E2AE2" w14:paraId="6F1ADDA9" w14:textId="77777777">
        <w:tc>
          <w:tcPr>
            <w:tcW w:w="2729" w:type="dxa"/>
          </w:tcPr>
          <w:p w14:paraId="60CA779A" w14:textId="77777777" w:rsidR="00DC1344" w:rsidRDefault="00000000">
            <w:r>
              <w:lastRenderedPageBreak/>
              <w:t>Special personal data</w:t>
            </w:r>
          </w:p>
        </w:tc>
        <w:tc>
          <w:tcPr>
            <w:tcW w:w="6333" w:type="dxa"/>
          </w:tcPr>
          <w:p w14:paraId="525B46C1" w14:textId="77777777" w:rsidR="00DC1344" w:rsidRPr="00F1199C" w:rsidRDefault="00000000">
            <w:pPr>
              <w:rPr>
                <w:b/>
                <w:lang w:val="en-GB"/>
              </w:rPr>
            </w:pPr>
            <w:r w:rsidRPr="00F1199C">
              <w:rPr>
                <w:b/>
                <w:lang w:val="en-GB"/>
              </w:rPr>
              <w:t xml:space="preserve">Are special categories of personal data processed in accordance with Art. 9? </w:t>
            </w:r>
          </w:p>
          <w:p w14:paraId="12B644F7" w14:textId="77777777" w:rsidR="00DC1344" w:rsidRPr="00F1199C" w:rsidRDefault="00000000">
            <w:pPr>
              <w:rPr>
                <w:i/>
                <w:highlight w:val="yellow"/>
                <w:lang w:val="en-GB"/>
              </w:rPr>
            </w:pPr>
            <w:r w:rsidRPr="00F1199C">
              <w:rPr>
                <w:i/>
                <w:highlight w:val="yellow"/>
                <w:lang w:val="en-GB"/>
              </w:rPr>
              <w:t>Yes / no</w:t>
            </w:r>
          </w:p>
          <w:p w14:paraId="75806BF4" w14:textId="77777777" w:rsidR="00DC1344" w:rsidRPr="00F1199C" w:rsidRDefault="00000000">
            <w:pPr>
              <w:rPr>
                <w:i/>
                <w:lang w:val="en-GB"/>
              </w:rPr>
            </w:pPr>
            <w:r w:rsidRPr="00F1199C">
              <w:rPr>
                <w:i/>
                <w:highlight w:val="yellow"/>
                <w:lang w:val="en-GB"/>
              </w:rPr>
              <w:t xml:space="preserve">The GDPR defines particularly sensitive data in Article 9. If you process such data, we strongly recommend that you carry out a data protection impact assessment (DPIA). You should also consult a data protection expert or legal advisor. </w:t>
            </w:r>
          </w:p>
          <w:p w14:paraId="5ABA60A2" w14:textId="77777777" w:rsidR="00DC1344" w:rsidRPr="00F1199C" w:rsidRDefault="00000000">
            <w:pPr>
              <w:rPr>
                <w:i/>
                <w:lang w:val="en-GB"/>
              </w:rPr>
            </w:pPr>
            <w:r w:rsidRPr="00F1199C">
              <w:rPr>
                <w:i/>
                <w:highlight w:val="yellow"/>
                <w:lang w:val="en-GB"/>
              </w:rPr>
              <w:t>Note: This concerns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(data according to GDPR Art. 9 (1))</w:t>
            </w:r>
          </w:p>
          <w:p w14:paraId="3B19FD65" w14:textId="77777777" w:rsidR="00DC1344" w:rsidRPr="00F1199C" w:rsidRDefault="00DC1344">
            <w:pPr>
              <w:rPr>
                <w:lang w:val="en-GB"/>
              </w:rPr>
            </w:pPr>
          </w:p>
        </w:tc>
      </w:tr>
      <w:tr w:rsidR="00DC1344" w:rsidRPr="000E2AE2" w14:paraId="1AFEBE37" w14:textId="77777777">
        <w:tc>
          <w:tcPr>
            <w:tcW w:w="9062" w:type="dxa"/>
            <w:gridSpan w:val="2"/>
          </w:tcPr>
          <w:p w14:paraId="74B691A8" w14:textId="77777777" w:rsidR="00DC1344" w:rsidRPr="00F1199C" w:rsidRDefault="00000000">
            <w:pPr>
              <w:jc w:val="center"/>
              <w:rPr>
                <w:b/>
                <w:lang w:val="en-GB"/>
              </w:rPr>
            </w:pPr>
            <w:r w:rsidRPr="00F1199C">
              <w:rPr>
                <w:b/>
                <w:sz w:val="24"/>
                <w:szCs w:val="24"/>
                <w:lang w:val="en-GB"/>
              </w:rPr>
              <w:t>Categories of recipients to whom the personal data have been or will be disclosed (pursuant to Art. 30 (1) d) GDPR)</w:t>
            </w:r>
          </w:p>
        </w:tc>
      </w:tr>
      <w:tr w:rsidR="00DC1344" w14:paraId="4CF6AFF7" w14:textId="77777777">
        <w:tc>
          <w:tcPr>
            <w:tcW w:w="2729" w:type="dxa"/>
          </w:tcPr>
          <w:p w14:paraId="39D3F1EA" w14:textId="0E1B83A7" w:rsidR="00DC1344" w:rsidRDefault="00000000">
            <w:r>
              <w:lastRenderedPageBreak/>
              <w:t>Internal receiver</w:t>
            </w:r>
            <w:r w:rsidR="00F1199C">
              <w:t>s</w:t>
            </w:r>
          </w:p>
        </w:tc>
        <w:tc>
          <w:tcPr>
            <w:tcW w:w="6333" w:type="dxa"/>
          </w:tcPr>
          <w:p w14:paraId="12F45EC0" w14:textId="77777777" w:rsidR="00DC1344" w:rsidRPr="00F1199C" w:rsidRDefault="00000000">
            <w:pPr>
              <w:rPr>
                <w:i/>
                <w:lang w:val="en-GB"/>
              </w:rPr>
            </w:pPr>
            <w:r w:rsidRPr="00F1199C">
              <w:rPr>
                <w:i/>
                <w:highlight w:val="yellow"/>
                <w:lang w:val="en-GB"/>
              </w:rPr>
              <w:t>List of internal recipients (e.g. individual departments or groups of people)</w:t>
            </w:r>
          </w:p>
          <w:p w14:paraId="43E39CD4" w14:textId="77777777" w:rsidR="00DC1344" w:rsidRDefault="00000000">
            <w:pPr>
              <w:rPr>
                <w:i/>
                <w:highlight w:val="yellow"/>
              </w:rPr>
            </w:pPr>
            <w:r>
              <w:rPr>
                <w:i/>
                <w:highlight w:val="yellow"/>
              </w:rPr>
              <w:t>e.g.</w:t>
            </w:r>
          </w:p>
          <w:p w14:paraId="0E0449E2" w14:textId="77777777" w:rsidR="00DC1344" w:rsidRDefault="00000000">
            <w:pPr>
              <w:numPr>
                <w:ilvl w:val="0"/>
                <w:numId w:val="2"/>
              </w:numPr>
              <w:pBdr>
                <w:top w:val="nil"/>
                <w:left w:val="nil"/>
                <w:bottom w:val="nil"/>
                <w:right w:val="nil"/>
                <w:between w:val="nil"/>
              </w:pBdr>
              <w:spacing w:line="259" w:lineRule="auto"/>
              <w:rPr>
                <w:i/>
                <w:color w:val="000000"/>
                <w:highlight w:val="yellow"/>
              </w:rPr>
            </w:pPr>
            <w:r>
              <w:rPr>
                <w:i/>
                <w:color w:val="000000"/>
                <w:highlight w:val="yellow"/>
              </w:rPr>
              <w:t>Accounting</w:t>
            </w:r>
          </w:p>
          <w:p w14:paraId="559326E9" w14:textId="77777777" w:rsidR="00DC1344" w:rsidRDefault="00000000">
            <w:pPr>
              <w:numPr>
                <w:ilvl w:val="0"/>
                <w:numId w:val="2"/>
              </w:numPr>
              <w:pBdr>
                <w:top w:val="nil"/>
                <w:left w:val="nil"/>
                <w:bottom w:val="nil"/>
                <w:right w:val="nil"/>
                <w:between w:val="nil"/>
              </w:pBdr>
              <w:spacing w:line="259" w:lineRule="auto"/>
              <w:rPr>
                <w:i/>
                <w:color w:val="000000"/>
                <w:highlight w:val="yellow"/>
              </w:rPr>
            </w:pPr>
            <w:r>
              <w:rPr>
                <w:i/>
                <w:color w:val="000000"/>
                <w:highlight w:val="yellow"/>
              </w:rPr>
              <w:t>Management</w:t>
            </w:r>
          </w:p>
          <w:p w14:paraId="0948A140" w14:textId="77777777" w:rsidR="00DC1344" w:rsidRDefault="00000000">
            <w:pPr>
              <w:numPr>
                <w:ilvl w:val="0"/>
                <w:numId w:val="2"/>
              </w:numPr>
              <w:pBdr>
                <w:top w:val="nil"/>
                <w:left w:val="nil"/>
                <w:bottom w:val="nil"/>
                <w:right w:val="nil"/>
                <w:between w:val="nil"/>
              </w:pBdr>
              <w:spacing w:line="259" w:lineRule="auto"/>
              <w:rPr>
                <w:i/>
                <w:color w:val="000000"/>
                <w:highlight w:val="yellow"/>
              </w:rPr>
            </w:pPr>
            <w:r>
              <w:rPr>
                <w:i/>
                <w:color w:val="000000"/>
                <w:highlight w:val="yellow"/>
              </w:rPr>
              <w:t>IT department</w:t>
            </w:r>
          </w:p>
          <w:p w14:paraId="425EB73E" w14:textId="77777777" w:rsidR="00DC1344" w:rsidRPr="00F1199C" w:rsidRDefault="00000000">
            <w:pPr>
              <w:numPr>
                <w:ilvl w:val="0"/>
                <w:numId w:val="2"/>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 xml:space="preserve">Other recipients in case of need </w:t>
            </w:r>
          </w:p>
          <w:p w14:paraId="46A898B2" w14:textId="77777777" w:rsidR="00DC1344" w:rsidRDefault="00000000">
            <w:pPr>
              <w:numPr>
                <w:ilvl w:val="0"/>
                <w:numId w:val="2"/>
              </w:numPr>
              <w:pBdr>
                <w:top w:val="nil"/>
                <w:left w:val="nil"/>
                <w:bottom w:val="nil"/>
                <w:right w:val="nil"/>
                <w:between w:val="nil"/>
              </w:pBdr>
              <w:spacing w:after="160" w:line="259" w:lineRule="auto"/>
              <w:rPr>
                <w:color w:val="000000"/>
              </w:rPr>
            </w:pPr>
            <w:r>
              <w:rPr>
                <w:i/>
                <w:color w:val="000000"/>
                <w:highlight w:val="yellow"/>
              </w:rPr>
              <w:t>...</w:t>
            </w:r>
          </w:p>
        </w:tc>
      </w:tr>
      <w:tr w:rsidR="00DC1344" w14:paraId="569691E8" w14:textId="77777777">
        <w:tc>
          <w:tcPr>
            <w:tcW w:w="2729" w:type="dxa"/>
          </w:tcPr>
          <w:p w14:paraId="2EC985A0" w14:textId="77777777" w:rsidR="00DC1344" w:rsidRDefault="00000000">
            <w:r>
              <w:t>External receivers</w:t>
            </w:r>
          </w:p>
        </w:tc>
        <w:tc>
          <w:tcPr>
            <w:tcW w:w="6333" w:type="dxa"/>
          </w:tcPr>
          <w:p w14:paraId="04181E60" w14:textId="77777777" w:rsidR="00DC1344" w:rsidRPr="00F1199C" w:rsidRDefault="00000000">
            <w:pPr>
              <w:rPr>
                <w:i/>
                <w:highlight w:val="yellow"/>
                <w:lang w:val="en-GB"/>
              </w:rPr>
            </w:pPr>
            <w:r w:rsidRPr="00F1199C">
              <w:rPr>
                <w:i/>
                <w:highlight w:val="yellow"/>
                <w:lang w:val="en-GB"/>
              </w:rPr>
              <w:t>External recipients are primarily service providers or authorities that either have access to the data or to which the data is transmitted. The providers of software solutions that theoretically have access to the stored data are also listed here</w:t>
            </w:r>
            <w:r w:rsidRPr="00F1199C">
              <w:rPr>
                <w:i/>
                <w:lang w:val="en-GB"/>
              </w:rPr>
              <w:t xml:space="preserve">. </w:t>
            </w:r>
          </w:p>
          <w:p w14:paraId="2C51F4C9" w14:textId="77777777" w:rsidR="00DC1344" w:rsidRDefault="00000000">
            <w:pPr>
              <w:rPr>
                <w:i/>
                <w:highlight w:val="yellow"/>
              </w:rPr>
            </w:pPr>
            <w:r>
              <w:rPr>
                <w:i/>
                <w:highlight w:val="yellow"/>
              </w:rPr>
              <w:t>e.g.</w:t>
            </w:r>
          </w:p>
          <w:p w14:paraId="5F28876D" w14:textId="77777777" w:rsidR="00DC1344" w:rsidRDefault="00000000">
            <w:pPr>
              <w:numPr>
                <w:ilvl w:val="0"/>
                <w:numId w:val="1"/>
              </w:numPr>
              <w:pBdr>
                <w:top w:val="nil"/>
                <w:left w:val="nil"/>
                <w:bottom w:val="nil"/>
                <w:right w:val="nil"/>
                <w:between w:val="nil"/>
              </w:pBdr>
              <w:spacing w:line="259" w:lineRule="auto"/>
              <w:rPr>
                <w:i/>
                <w:color w:val="000000"/>
                <w:highlight w:val="yellow"/>
              </w:rPr>
            </w:pPr>
            <w:r>
              <w:rPr>
                <w:i/>
                <w:color w:val="000000"/>
                <w:highlight w:val="yellow"/>
              </w:rPr>
              <w:t>Tax consultant</w:t>
            </w:r>
          </w:p>
          <w:p w14:paraId="30E05A95" w14:textId="77777777" w:rsidR="00DC1344" w:rsidRPr="00F1199C" w:rsidRDefault="00000000">
            <w:pPr>
              <w:numPr>
                <w:ilvl w:val="0"/>
                <w:numId w:val="1"/>
              </w:numPr>
              <w:pBdr>
                <w:top w:val="nil"/>
                <w:left w:val="nil"/>
                <w:bottom w:val="nil"/>
                <w:right w:val="nil"/>
                <w:between w:val="nil"/>
              </w:pBdr>
              <w:spacing w:line="259" w:lineRule="auto"/>
              <w:rPr>
                <w:i/>
                <w:color w:val="000000"/>
                <w:highlight w:val="yellow"/>
                <w:lang w:val="en-GB"/>
              </w:rPr>
            </w:pPr>
            <w:r w:rsidRPr="00F1199C">
              <w:rPr>
                <w:i/>
                <w:color w:val="000000"/>
                <w:highlight w:val="yellow"/>
                <w:lang w:val="en-GB"/>
              </w:rPr>
              <w:t>Service provider XYZ (state name and type)</w:t>
            </w:r>
          </w:p>
          <w:p w14:paraId="29FFD4E1" w14:textId="77777777" w:rsidR="00DC1344" w:rsidRDefault="00000000">
            <w:pPr>
              <w:numPr>
                <w:ilvl w:val="0"/>
                <w:numId w:val="1"/>
              </w:numPr>
              <w:pBdr>
                <w:top w:val="nil"/>
                <w:left w:val="nil"/>
                <w:bottom w:val="nil"/>
                <w:right w:val="nil"/>
                <w:between w:val="nil"/>
              </w:pBdr>
              <w:spacing w:after="160" w:line="259" w:lineRule="auto"/>
              <w:rPr>
                <w:i/>
                <w:color w:val="000000"/>
                <w:highlight w:val="yellow"/>
              </w:rPr>
            </w:pPr>
            <w:r>
              <w:rPr>
                <w:i/>
                <w:color w:val="000000"/>
                <w:highlight w:val="yellow"/>
              </w:rPr>
              <w:t>...</w:t>
            </w:r>
          </w:p>
        </w:tc>
      </w:tr>
      <w:tr w:rsidR="00DC1344" w:rsidRPr="000E2AE2" w14:paraId="51BB7D20" w14:textId="77777777">
        <w:tc>
          <w:tcPr>
            <w:tcW w:w="2729" w:type="dxa"/>
          </w:tcPr>
          <w:p w14:paraId="696846C6" w14:textId="77777777" w:rsidR="00DC1344" w:rsidRDefault="00000000">
            <w:r w:rsidRPr="00F1199C">
              <w:rPr>
                <w:lang w:val="en-GB"/>
              </w:rPr>
              <w:t>Data transfer to third countries</w:t>
            </w:r>
            <w:r w:rsidRPr="00F1199C">
              <w:rPr>
                <w:lang w:val="en-GB"/>
              </w:rPr>
              <w:br/>
              <w:t xml:space="preserve">(pursuant to Art. 30 para. </w:t>
            </w:r>
            <w:r>
              <w:t>1 e) GDPR)</w:t>
            </w:r>
          </w:p>
        </w:tc>
        <w:tc>
          <w:tcPr>
            <w:tcW w:w="6333" w:type="dxa"/>
          </w:tcPr>
          <w:p w14:paraId="606FFD6F" w14:textId="77777777" w:rsidR="00DC1344" w:rsidRPr="00F1199C" w:rsidRDefault="00000000">
            <w:pPr>
              <w:rPr>
                <w:i/>
                <w:highlight w:val="yellow"/>
                <w:lang w:val="en-GB"/>
              </w:rPr>
            </w:pPr>
            <w:r w:rsidRPr="00F1199C">
              <w:rPr>
                <w:i/>
                <w:highlight w:val="yellow"/>
                <w:lang w:val="en-GB"/>
              </w:rPr>
              <w:t xml:space="preserve">Record here whether the data is transferred to a third country. This often happens when using service providers (especially internet service providers and software solutions from the cloud). </w:t>
            </w:r>
          </w:p>
          <w:p w14:paraId="435A6D8E" w14:textId="77777777" w:rsidR="00DC1344" w:rsidRPr="00F1199C" w:rsidRDefault="00DC1344">
            <w:pPr>
              <w:rPr>
                <w:i/>
                <w:highlight w:val="yellow"/>
                <w:lang w:val="en-GB"/>
              </w:rPr>
            </w:pPr>
          </w:p>
          <w:p w14:paraId="7F29BF71" w14:textId="77777777" w:rsidR="00DC1344" w:rsidRPr="00F1199C" w:rsidRDefault="00000000">
            <w:pPr>
              <w:rPr>
                <w:i/>
                <w:lang w:val="en-GB"/>
              </w:rPr>
            </w:pPr>
            <w:r w:rsidRPr="00F1199C">
              <w:rPr>
                <w:i/>
                <w:highlight w:val="yellow"/>
                <w:lang w:val="en-GB"/>
              </w:rPr>
              <w:t>For this point, either state: "Data transfer does not take place and is not planned." or "Data transfer to a third country takes place." and then describe which transfer takes place.</w:t>
            </w:r>
            <w:r w:rsidRPr="00F1199C">
              <w:rPr>
                <w:i/>
                <w:lang w:val="en-GB"/>
              </w:rPr>
              <w:t xml:space="preserve">  </w:t>
            </w:r>
          </w:p>
          <w:p w14:paraId="7FA2509A" w14:textId="77777777" w:rsidR="00DC1344" w:rsidRPr="00F1199C" w:rsidRDefault="00DC1344">
            <w:pPr>
              <w:rPr>
                <w:lang w:val="en-GB"/>
              </w:rPr>
            </w:pPr>
          </w:p>
          <w:p w14:paraId="10FB1C35" w14:textId="77777777" w:rsidR="00DC1344" w:rsidRPr="00F1199C" w:rsidRDefault="00000000">
            <w:pPr>
              <w:rPr>
                <w:i/>
                <w:highlight w:val="yellow"/>
                <w:lang w:val="en-GB"/>
              </w:rPr>
            </w:pPr>
            <w:r w:rsidRPr="00F1199C">
              <w:rPr>
                <w:i/>
                <w:highlight w:val="yellow"/>
                <w:lang w:val="en-GB"/>
              </w:rPr>
              <w:t xml:space="preserve">Note: The third country should always be specified here as soon as it is not the country in which you are based. You can also specify the place of data processing and the headquarters of the service provider (if different). </w:t>
            </w:r>
          </w:p>
          <w:p w14:paraId="0C75E543" w14:textId="77777777" w:rsidR="00DC1344" w:rsidRPr="00F1199C" w:rsidRDefault="00DC1344">
            <w:pPr>
              <w:rPr>
                <w:i/>
                <w:highlight w:val="yellow"/>
                <w:lang w:val="en-GB"/>
              </w:rPr>
            </w:pPr>
          </w:p>
          <w:p w14:paraId="21E9042C" w14:textId="77777777" w:rsidR="00DC1344" w:rsidRPr="00F1199C" w:rsidRDefault="00000000">
            <w:pPr>
              <w:rPr>
                <w:i/>
                <w:lang w:val="en-GB"/>
              </w:rPr>
            </w:pPr>
            <w:r w:rsidRPr="00F1199C">
              <w:rPr>
                <w:i/>
                <w:highlight w:val="yellow"/>
                <w:lang w:val="en-GB"/>
              </w:rPr>
              <w:t xml:space="preserve">A risk assessment of the third country must also be carried out. </w:t>
            </w:r>
          </w:p>
          <w:p w14:paraId="0351D4BE" w14:textId="77777777" w:rsidR="00DC1344" w:rsidRPr="00F1199C" w:rsidRDefault="00000000">
            <w:pPr>
              <w:rPr>
                <w:i/>
                <w:highlight w:val="yellow"/>
                <w:lang w:val="en-GB"/>
              </w:rPr>
            </w:pPr>
            <w:r w:rsidRPr="00F1199C">
              <w:rPr>
                <w:i/>
                <w:highlight w:val="yellow"/>
                <w:lang w:val="en-GB"/>
              </w:rPr>
              <w:t xml:space="preserve">All EU countries and countries that have been recognised by the EU as having an adequate level of data protection through an adequacy decision are uncritical. Further measures should be implemented for all other countries. </w:t>
            </w:r>
          </w:p>
          <w:p w14:paraId="755B3ECF" w14:textId="77777777" w:rsidR="00DC1344" w:rsidRPr="00F1199C" w:rsidRDefault="00DC1344">
            <w:pPr>
              <w:rPr>
                <w:i/>
                <w:highlight w:val="yellow"/>
                <w:lang w:val="en-GB"/>
              </w:rPr>
            </w:pPr>
          </w:p>
          <w:p w14:paraId="48857779" w14:textId="77777777" w:rsidR="00DC1344" w:rsidRPr="00F1199C" w:rsidRDefault="00000000">
            <w:pPr>
              <w:rPr>
                <w:i/>
                <w:lang w:val="en-GB"/>
              </w:rPr>
            </w:pPr>
            <w:r w:rsidRPr="00F1199C">
              <w:rPr>
                <w:i/>
                <w:highlight w:val="yellow"/>
                <w:lang w:val="en-GB"/>
              </w:rPr>
              <w:t>The corresponding guarantees should also be listed here. At the very least, a contract for commissioned data processing should be concluded with the respective service provider</w:t>
            </w:r>
            <w:r w:rsidRPr="00F1199C">
              <w:rPr>
                <w:i/>
                <w:lang w:val="en-GB"/>
              </w:rPr>
              <w:t xml:space="preserve">. </w:t>
            </w:r>
          </w:p>
          <w:p w14:paraId="4345397E" w14:textId="77777777" w:rsidR="00DC1344" w:rsidRPr="00F1199C" w:rsidRDefault="00DC1344">
            <w:pPr>
              <w:rPr>
                <w:lang w:val="en-GB"/>
              </w:rPr>
            </w:pPr>
          </w:p>
        </w:tc>
      </w:tr>
      <w:tr w:rsidR="00DC1344" w:rsidRPr="000E2AE2" w14:paraId="31B6E87F" w14:textId="77777777">
        <w:tc>
          <w:tcPr>
            <w:tcW w:w="2729" w:type="dxa"/>
          </w:tcPr>
          <w:p w14:paraId="20BC131D" w14:textId="77777777" w:rsidR="00DC1344" w:rsidRPr="00F1199C" w:rsidRDefault="00000000">
            <w:pPr>
              <w:rPr>
                <w:lang w:val="en-GB"/>
              </w:rPr>
            </w:pPr>
            <w:r w:rsidRPr="00F1199C">
              <w:rPr>
                <w:lang w:val="en-GB"/>
              </w:rPr>
              <w:t>Deadlines for the deletion of data</w:t>
            </w:r>
          </w:p>
        </w:tc>
        <w:tc>
          <w:tcPr>
            <w:tcW w:w="6333" w:type="dxa"/>
          </w:tcPr>
          <w:p w14:paraId="6A35F4E2" w14:textId="77777777" w:rsidR="00DC1344" w:rsidRPr="00F1199C" w:rsidRDefault="00000000">
            <w:pPr>
              <w:rPr>
                <w:i/>
                <w:lang w:val="en-GB"/>
              </w:rPr>
            </w:pPr>
            <w:r w:rsidRPr="00F1199C">
              <w:rPr>
                <w:i/>
                <w:highlight w:val="yellow"/>
                <w:lang w:val="en-GB"/>
              </w:rPr>
              <w:t>Record when you delete the recorded data. Here you can also refer to an external deletion concept, which must be created separately</w:t>
            </w:r>
            <w:r w:rsidRPr="00F1199C">
              <w:rPr>
                <w:i/>
                <w:lang w:val="en-GB"/>
              </w:rPr>
              <w:t xml:space="preserve">. </w:t>
            </w:r>
          </w:p>
          <w:p w14:paraId="33006888" w14:textId="77777777" w:rsidR="00DC1344" w:rsidRPr="00F1199C" w:rsidRDefault="00DC1344">
            <w:pPr>
              <w:rPr>
                <w:i/>
                <w:lang w:val="en-GB"/>
              </w:rPr>
            </w:pPr>
          </w:p>
        </w:tc>
      </w:tr>
      <w:tr w:rsidR="00DC1344" w:rsidRPr="000E2AE2" w14:paraId="5ABAF15F" w14:textId="77777777">
        <w:tc>
          <w:tcPr>
            <w:tcW w:w="9062" w:type="dxa"/>
            <w:gridSpan w:val="2"/>
          </w:tcPr>
          <w:p w14:paraId="510227BA" w14:textId="77777777" w:rsidR="00DC1344" w:rsidRPr="00F1199C" w:rsidRDefault="00000000">
            <w:pPr>
              <w:jc w:val="center"/>
              <w:rPr>
                <w:b/>
                <w:lang w:val="en-GB"/>
              </w:rPr>
            </w:pPr>
            <w:r w:rsidRPr="00F1199C">
              <w:rPr>
                <w:b/>
                <w:sz w:val="24"/>
                <w:szCs w:val="24"/>
                <w:lang w:val="en-GB"/>
              </w:rPr>
              <w:t>Data protection compliance check for data controllers</w:t>
            </w:r>
          </w:p>
        </w:tc>
      </w:tr>
      <w:tr w:rsidR="00DC1344" w14:paraId="04EF5FB1" w14:textId="77777777">
        <w:tc>
          <w:tcPr>
            <w:tcW w:w="2729" w:type="dxa"/>
          </w:tcPr>
          <w:p w14:paraId="50CAAB71" w14:textId="77777777" w:rsidR="00DC1344" w:rsidRPr="00F1199C" w:rsidRDefault="00000000">
            <w:pPr>
              <w:rPr>
                <w:lang w:val="en-GB"/>
              </w:rPr>
            </w:pPr>
            <w:r w:rsidRPr="00F1199C">
              <w:rPr>
                <w:lang w:val="en-GB"/>
              </w:rPr>
              <w:lastRenderedPageBreak/>
              <w:t xml:space="preserve">Legal basis of the processing activity </w:t>
            </w:r>
          </w:p>
        </w:tc>
        <w:tc>
          <w:tcPr>
            <w:tcW w:w="6333" w:type="dxa"/>
          </w:tcPr>
          <w:p w14:paraId="0A1FF767" w14:textId="77777777" w:rsidR="00DC1344" w:rsidRPr="00F1199C" w:rsidRDefault="00000000">
            <w:pPr>
              <w:rPr>
                <w:i/>
                <w:highlight w:val="yellow"/>
                <w:lang w:val="en-GB"/>
              </w:rPr>
            </w:pPr>
            <w:r w:rsidRPr="00F1199C">
              <w:rPr>
                <w:i/>
                <w:highlight w:val="yellow"/>
                <w:lang w:val="en-GB"/>
              </w:rPr>
              <w:t>The processing of personal data is only lawful if one of the legal bases listed in the GDPR is applicable:</w:t>
            </w:r>
          </w:p>
          <w:p w14:paraId="0762ECBC" w14:textId="77777777" w:rsidR="00DC1344" w:rsidRPr="00F1199C" w:rsidRDefault="00DC1344">
            <w:pPr>
              <w:rPr>
                <w:i/>
                <w:highlight w:val="yellow"/>
                <w:lang w:val="en-GB"/>
              </w:rPr>
            </w:pPr>
          </w:p>
          <w:p w14:paraId="79209241" w14:textId="77777777" w:rsidR="00DC1344" w:rsidRDefault="00000000">
            <w:pPr>
              <w:numPr>
                <w:ilvl w:val="0"/>
                <w:numId w:val="5"/>
              </w:numPr>
              <w:pBdr>
                <w:top w:val="nil"/>
                <w:left w:val="nil"/>
                <w:bottom w:val="nil"/>
                <w:right w:val="nil"/>
                <w:between w:val="nil"/>
              </w:pBdr>
              <w:spacing w:line="259" w:lineRule="auto"/>
              <w:rPr>
                <w:i/>
                <w:color w:val="000000"/>
                <w:highlight w:val="yellow"/>
              </w:rPr>
            </w:pPr>
            <w:r w:rsidRPr="00F1199C">
              <w:rPr>
                <w:i/>
                <w:color w:val="000000"/>
                <w:highlight w:val="yellow"/>
                <w:lang w:val="en-GB"/>
              </w:rPr>
              <w:t xml:space="preserve">The processing is based on the consent of the data subject (GDPR Art. 6 para. </w:t>
            </w:r>
            <w:r>
              <w:rPr>
                <w:i/>
                <w:color w:val="000000"/>
                <w:highlight w:val="yellow"/>
              </w:rPr>
              <w:t>1 a)</w:t>
            </w:r>
          </w:p>
          <w:p w14:paraId="7197BD06" w14:textId="77777777" w:rsidR="00DC1344" w:rsidRDefault="00000000">
            <w:pPr>
              <w:numPr>
                <w:ilvl w:val="0"/>
                <w:numId w:val="5"/>
              </w:numPr>
              <w:pBdr>
                <w:top w:val="nil"/>
                <w:left w:val="nil"/>
                <w:bottom w:val="nil"/>
                <w:right w:val="nil"/>
                <w:between w:val="nil"/>
              </w:pBdr>
              <w:spacing w:line="259" w:lineRule="auto"/>
              <w:rPr>
                <w:i/>
                <w:color w:val="000000"/>
                <w:highlight w:val="yellow"/>
              </w:rPr>
            </w:pPr>
            <w:r w:rsidRPr="00F1199C">
              <w:rPr>
                <w:i/>
                <w:color w:val="000000"/>
                <w:highlight w:val="yellow"/>
                <w:lang w:val="en-GB"/>
              </w:rPr>
              <w:t xml:space="preserve">The processing is necessary for the fulfilment of a contract or for the implementation of pre-contractual measures. </w:t>
            </w:r>
            <w:r>
              <w:rPr>
                <w:i/>
                <w:color w:val="000000"/>
                <w:highlight w:val="yellow"/>
              </w:rPr>
              <w:t>(GDPR Art. 6 para. 1 b)</w:t>
            </w:r>
          </w:p>
          <w:p w14:paraId="653B814B" w14:textId="77777777" w:rsidR="00DC1344" w:rsidRDefault="00000000">
            <w:pPr>
              <w:numPr>
                <w:ilvl w:val="0"/>
                <w:numId w:val="5"/>
              </w:numPr>
              <w:pBdr>
                <w:top w:val="nil"/>
                <w:left w:val="nil"/>
                <w:bottom w:val="nil"/>
                <w:right w:val="nil"/>
                <w:between w:val="nil"/>
              </w:pBdr>
              <w:spacing w:line="259" w:lineRule="auto"/>
              <w:rPr>
                <w:i/>
                <w:color w:val="000000"/>
                <w:highlight w:val="yellow"/>
              </w:rPr>
            </w:pPr>
            <w:r w:rsidRPr="00F1199C">
              <w:rPr>
                <w:i/>
                <w:color w:val="000000"/>
                <w:highlight w:val="yellow"/>
                <w:lang w:val="en-GB"/>
              </w:rPr>
              <w:t xml:space="preserve">Processing is necessary for compliance with a legal obligation. </w:t>
            </w:r>
            <w:r>
              <w:rPr>
                <w:i/>
                <w:color w:val="000000"/>
                <w:highlight w:val="yellow"/>
              </w:rPr>
              <w:t>(GDPR Art. 6 para. 1 c)</w:t>
            </w:r>
          </w:p>
          <w:p w14:paraId="36DC0CAA" w14:textId="77777777" w:rsidR="00DC1344" w:rsidRDefault="00000000">
            <w:pPr>
              <w:numPr>
                <w:ilvl w:val="0"/>
                <w:numId w:val="5"/>
              </w:numPr>
              <w:pBdr>
                <w:top w:val="nil"/>
                <w:left w:val="nil"/>
                <w:bottom w:val="nil"/>
                <w:right w:val="nil"/>
                <w:between w:val="nil"/>
              </w:pBdr>
              <w:spacing w:line="259" w:lineRule="auto"/>
              <w:rPr>
                <w:i/>
                <w:color w:val="000000"/>
                <w:highlight w:val="yellow"/>
              </w:rPr>
            </w:pPr>
            <w:r w:rsidRPr="00F1199C">
              <w:rPr>
                <w:i/>
                <w:color w:val="000000"/>
                <w:highlight w:val="yellow"/>
                <w:lang w:val="en-GB"/>
              </w:rPr>
              <w:t xml:space="preserve">Processing is necessary to protect vital interests. </w:t>
            </w:r>
            <w:r>
              <w:rPr>
                <w:i/>
                <w:color w:val="000000"/>
                <w:highlight w:val="yellow"/>
              </w:rPr>
              <w:t>(GDPR Art. 6 para. 1 d)</w:t>
            </w:r>
          </w:p>
          <w:p w14:paraId="32DE973F" w14:textId="77777777" w:rsidR="00DC1344" w:rsidRDefault="00000000">
            <w:pPr>
              <w:numPr>
                <w:ilvl w:val="0"/>
                <w:numId w:val="5"/>
              </w:numPr>
              <w:pBdr>
                <w:top w:val="nil"/>
                <w:left w:val="nil"/>
                <w:bottom w:val="nil"/>
                <w:right w:val="nil"/>
                <w:between w:val="nil"/>
              </w:pBdr>
              <w:spacing w:line="259" w:lineRule="auto"/>
              <w:rPr>
                <w:i/>
                <w:color w:val="000000"/>
                <w:highlight w:val="yellow"/>
              </w:rPr>
            </w:pPr>
            <w:r w:rsidRPr="00F1199C">
              <w:rPr>
                <w:i/>
                <w:color w:val="000000"/>
                <w:highlight w:val="yellow"/>
                <w:lang w:val="en-GB"/>
              </w:rPr>
              <w:t xml:space="preserve">Processing is necessary to protect the public interest. </w:t>
            </w:r>
            <w:r>
              <w:rPr>
                <w:i/>
                <w:color w:val="000000"/>
                <w:highlight w:val="yellow"/>
              </w:rPr>
              <w:t>(GDPR Art. 6 para. 1 e)</w:t>
            </w:r>
          </w:p>
          <w:p w14:paraId="205D1C49" w14:textId="77777777" w:rsidR="00DC1344" w:rsidRDefault="00000000">
            <w:pPr>
              <w:numPr>
                <w:ilvl w:val="0"/>
                <w:numId w:val="5"/>
              </w:numPr>
              <w:pBdr>
                <w:top w:val="nil"/>
                <w:left w:val="nil"/>
                <w:bottom w:val="nil"/>
                <w:right w:val="nil"/>
                <w:between w:val="nil"/>
              </w:pBdr>
              <w:spacing w:after="160" w:line="259" w:lineRule="auto"/>
              <w:rPr>
                <w:i/>
                <w:color w:val="000000"/>
                <w:highlight w:val="yellow"/>
              </w:rPr>
            </w:pPr>
            <w:r w:rsidRPr="00F1199C">
              <w:rPr>
                <w:i/>
                <w:color w:val="000000"/>
                <w:highlight w:val="yellow"/>
                <w:lang w:val="en-GB"/>
              </w:rPr>
              <w:t xml:space="preserve">The processing is based on the legitimate interest of the controller. </w:t>
            </w:r>
            <w:r>
              <w:rPr>
                <w:i/>
                <w:color w:val="000000"/>
                <w:highlight w:val="yellow"/>
              </w:rPr>
              <w:t>(GDPR Art. 6 para. 1 f)</w:t>
            </w:r>
          </w:p>
          <w:p w14:paraId="2F12F28A" w14:textId="77777777" w:rsidR="00DC1344" w:rsidRDefault="00DC1344"/>
        </w:tc>
      </w:tr>
      <w:tr w:rsidR="00DC1344" w:rsidRPr="000E2AE2" w14:paraId="63C7F93E" w14:textId="77777777">
        <w:trPr>
          <w:trHeight w:val="480"/>
        </w:trPr>
        <w:tc>
          <w:tcPr>
            <w:tcW w:w="2729" w:type="dxa"/>
          </w:tcPr>
          <w:p w14:paraId="6E36CEAF" w14:textId="77777777" w:rsidR="00DC1344" w:rsidRDefault="00000000">
            <w:r>
              <w:t>Further laws</w:t>
            </w:r>
          </w:p>
        </w:tc>
        <w:tc>
          <w:tcPr>
            <w:tcW w:w="6333" w:type="dxa"/>
          </w:tcPr>
          <w:p w14:paraId="47A3F10E" w14:textId="77777777" w:rsidR="00DC1344" w:rsidRPr="00F1199C" w:rsidRDefault="00000000">
            <w:pPr>
              <w:rPr>
                <w:i/>
                <w:lang w:val="en-GB"/>
              </w:rPr>
            </w:pPr>
            <w:r w:rsidRPr="00F1199C">
              <w:rPr>
                <w:i/>
                <w:highlight w:val="yellow"/>
                <w:lang w:val="en-GB"/>
              </w:rPr>
              <w:t>If there are other laws in your country on the basis of which you carry out the processing described here, you can document them here</w:t>
            </w:r>
            <w:r w:rsidRPr="00F1199C">
              <w:rPr>
                <w:i/>
                <w:lang w:val="en-GB"/>
              </w:rPr>
              <w:t xml:space="preserve">. </w:t>
            </w:r>
          </w:p>
          <w:p w14:paraId="77638C0F" w14:textId="77777777" w:rsidR="00DC1344" w:rsidRPr="00F1199C" w:rsidRDefault="00DC1344">
            <w:pPr>
              <w:rPr>
                <w:i/>
                <w:lang w:val="en-GB"/>
              </w:rPr>
            </w:pPr>
          </w:p>
          <w:p w14:paraId="410123D2" w14:textId="77777777" w:rsidR="00DC1344" w:rsidRPr="00F1199C" w:rsidRDefault="00DC1344">
            <w:pPr>
              <w:rPr>
                <w:i/>
                <w:lang w:val="en-GB"/>
              </w:rPr>
            </w:pPr>
          </w:p>
        </w:tc>
      </w:tr>
      <w:tr w:rsidR="00DC1344" w14:paraId="61BDAF69" w14:textId="77777777">
        <w:tc>
          <w:tcPr>
            <w:tcW w:w="9062" w:type="dxa"/>
            <w:gridSpan w:val="2"/>
          </w:tcPr>
          <w:p w14:paraId="09B1A415" w14:textId="77777777" w:rsidR="00DC1344" w:rsidRPr="00F1199C" w:rsidRDefault="00000000">
            <w:pPr>
              <w:pBdr>
                <w:top w:val="nil"/>
                <w:left w:val="nil"/>
                <w:bottom w:val="nil"/>
                <w:right w:val="nil"/>
                <w:between w:val="nil"/>
              </w:pBdr>
              <w:jc w:val="center"/>
              <w:rPr>
                <w:b/>
                <w:sz w:val="24"/>
                <w:szCs w:val="24"/>
                <w:lang w:val="en-GB"/>
              </w:rPr>
            </w:pPr>
            <w:r w:rsidRPr="00F1199C">
              <w:rPr>
                <w:b/>
                <w:sz w:val="24"/>
                <w:szCs w:val="24"/>
                <w:lang w:val="en-GB"/>
              </w:rPr>
              <w:t>Description of the technical and organisational measures</w:t>
            </w:r>
            <w:r w:rsidRPr="00F1199C">
              <w:rPr>
                <w:b/>
                <w:sz w:val="24"/>
                <w:szCs w:val="24"/>
                <w:lang w:val="en-GB"/>
              </w:rPr>
              <w:br/>
              <w:t>pursuant to Art. 30 para. 1 g) in conjunction with Art. 32 para. 1 GDPR</w:t>
            </w:r>
          </w:p>
          <w:p w14:paraId="7EF063F6" w14:textId="77777777" w:rsidR="00DC1344" w:rsidRPr="00F1199C" w:rsidRDefault="00DC1344">
            <w:pPr>
              <w:spacing w:after="160" w:line="259" w:lineRule="auto"/>
              <w:rPr>
                <w:i/>
                <w:highlight w:val="yellow"/>
                <w:lang w:val="en-GB"/>
              </w:rPr>
            </w:pPr>
          </w:p>
          <w:p w14:paraId="6737C642" w14:textId="77777777" w:rsidR="00DC1344" w:rsidRDefault="00000000">
            <w:pPr>
              <w:spacing w:after="160" w:line="259" w:lineRule="auto"/>
              <w:rPr>
                <w:i/>
              </w:rPr>
            </w:pPr>
            <w:r w:rsidRPr="00F1199C">
              <w:rPr>
                <w:i/>
                <w:highlight w:val="yellow"/>
                <w:lang w:val="en-GB"/>
              </w:rPr>
              <w:t xml:space="preserve">To ensure the protection of personal data, you must define technical and organisational measures in your company. </w:t>
            </w:r>
            <w:r>
              <w:rPr>
                <w:i/>
                <w:highlight w:val="yellow"/>
              </w:rPr>
              <w:t>These can also be documented separately.</w:t>
            </w:r>
            <w:r>
              <w:rPr>
                <w:i/>
              </w:rPr>
              <w:t xml:space="preserve">  </w:t>
            </w:r>
          </w:p>
        </w:tc>
      </w:tr>
    </w:tbl>
    <w:p w14:paraId="44FF3C64" w14:textId="77777777" w:rsidR="00DC1344" w:rsidRDefault="00DC1344"/>
    <w:sectPr w:rsidR="00DC13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2746" w14:textId="77777777" w:rsidR="00805F7D" w:rsidRDefault="00805F7D">
      <w:pPr>
        <w:spacing w:after="0" w:line="240" w:lineRule="auto"/>
      </w:pPr>
      <w:r>
        <w:separator/>
      </w:r>
    </w:p>
  </w:endnote>
  <w:endnote w:type="continuationSeparator" w:id="0">
    <w:p w14:paraId="0D0FA1DA" w14:textId="77777777" w:rsidR="00805F7D" w:rsidRDefault="0080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4AF5" w14:textId="77777777" w:rsidR="000E2AE2" w:rsidRDefault="000E2A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auto"/>
      </w:tblBorders>
      <w:tblLook w:val="04A0" w:firstRow="1" w:lastRow="0" w:firstColumn="1" w:lastColumn="0" w:noHBand="0" w:noVBand="1"/>
    </w:tblPr>
    <w:tblGrid>
      <w:gridCol w:w="4673"/>
      <w:gridCol w:w="4389"/>
    </w:tblGrid>
    <w:tr w:rsidR="000E2AE2" w:rsidRPr="00860A02" w14:paraId="3F8DD1F6" w14:textId="77777777" w:rsidTr="00242490">
      <w:tc>
        <w:tcPr>
          <w:tcW w:w="4673" w:type="dxa"/>
        </w:tcPr>
        <w:p w14:paraId="39B1114C" w14:textId="29EBD424" w:rsidR="000E2AE2" w:rsidRPr="000E2AE2" w:rsidRDefault="000E2AE2" w:rsidP="000E2AE2">
          <w:pPr>
            <w:widowControl w:val="0"/>
            <w:spacing w:line="240" w:lineRule="auto"/>
            <w:rPr>
              <w:rFonts w:ascii="Arial" w:hAnsi="Arial" w:cs="Arial"/>
              <w:color w:val="000000"/>
              <w:sz w:val="10"/>
              <w:szCs w:val="10"/>
              <w:lang w:val="en-GB"/>
            </w:rPr>
          </w:pPr>
          <w:r w:rsidRPr="000E2AE2">
            <w:rPr>
              <w:rFonts w:ascii="Arial" w:hAnsi="Arial" w:cs="Arial"/>
              <w:color w:val="000000"/>
              <w:sz w:val="10"/>
              <w:szCs w:val="10"/>
              <w:lang w:val="en-GB"/>
            </w:rPr>
            <w:br/>
          </w:r>
          <w:r w:rsidRPr="008B7844">
            <w:rPr>
              <w:rFonts w:ascii="Arial" w:hAnsi="Arial" w:cs="Arial"/>
              <w:noProof/>
              <w:color w:val="000000"/>
              <w:sz w:val="10"/>
              <w:szCs w:val="10"/>
            </w:rPr>
            <w:drawing>
              <wp:inline distT="0" distB="0" distL="0" distR="0" wp14:anchorId="3EBCB032" wp14:editId="2C17EFFF">
                <wp:extent cx="1421149" cy="317076"/>
                <wp:effectExtent l="0" t="0" r="0" b="6985"/>
                <wp:docPr id="17118306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30682"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1149" cy="317076"/>
                        </a:xfrm>
                        <a:prstGeom prst="rect">
                          <a:avLst/>
                        </a:prstGeom>
                        <a:noFill/>
                        <a:ln>
                          <a:noFill/>
                        </a:ln>
                      </pic:spPr>
                    </pic:pic>
                  </a:graphicData>
                </a:graphic>
              </wp:inline>
            </w:drawing>
          </w:r>
          <w:r w:rsidRPr="000E2AE2">
            <w:rPr>
              <w:rFonts w:ascii="Arial" w:hAnsi="Arial" w:cs="Arial"/>
              <w:color w:val="404040"/>
              <w:sz w:val="10"/>
              <w:szCs w:val="10"/>
              <w:lang w:val="en-GB"/>
            </w:rPr>
            <w:b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c>
        <w:tcPr>
          <w:tcW w:w="4389" w:type="dxa"/>
        </w:tcPr>
        <w:p w14:paraId="58F163C8" w14:textId="77777777" w:rsidR="000E2AE2" w:rsidRPr="008B7844" w:rsidRDefault="000E2AE2" w:rsidP="000E2AE2">
          <w:pPr>
            <w:widowControl w:val="0"/>
            <w:spacing w:line="240" w:lineRule="auto"/>
            <w:jc w:val="right"/>
            <w:rPr>
              <w:color w:val="000000"/>
              <w:lang w:val="en-GB"/>
            </w:rPr>
          </w:pPr>
          <w:r w:rsidRPr="000E2AE2">
            <w:rPr>
              <w:rFonts w:ascii="Arial" w:hAnsi="Arial" w:cs="Arial"/>
              <w:color w:val="000000"/>
              <w:sz w:val="10"/>
              <w:szCs w:val="10"/>
              <w:lang w:val="en-GB"/>
            </w:rPr>
            <w:br/>
          </w:r>
          <w:r>
            <w:rPr>
              <w:noProof/>
              <w:color w:val="000000"/>
            </w:rPr>
            <w:drawing>
              <wp:inline distT="0" distB="0" distL="0" distR="0" wp14:anchorId="55B9C9FE" wp14:editId="5386F914">
                <wp:extent cx="924448" cy="323442"/>
                <wp:effectExtent l="0" t="0" r="0" b="635"/>
                <wp:docPr id="590928483" name="image1.png" descr="Ein Bild, das Zeichnung enthält.&#10;&#10;Automatisch generierte Beschreibung">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774401212" name="image1.png" descr="Ein Bild, das Zeichnung enthält.&#10;&#10;Automatisch generierte Beschreibung">
                          <a:hlinkClick r:id="rId2"/>
                        </pic:cNvPr>
                        <pic:cNvPicPr preferRelativeResize="0"/>
                      </pic:nvPicPr>
                      <pic:blipFill>
                        <a:blip r:embed="rId3"/>
                        <a:srcRect/>
                        <a:stretch>
                          <a:fillRect/>
                        </a:stretch>
                      </pic:blipFill>
                      <pic:spPr>
                        <a:xfrm>
                          <a:off x="0" y="0"/>
                          <a:ext cx="936818" cy="327770"/>
                        </a:xfrm>
                        <a:prstGeom prst="rect">
                          <a:avLst/>
                        </a:prstGeom>
                        <a:ln/>
                      </pic:spPr>
                    </pic:pic>
                  </a:graphicData>
                </a:graphic>
              </wp:inline>
            </w:drawing>
          </w:r>
          <w:r>
            <w:rPr>
              <w:rFonts w:ascii="Arial" w:hAnsi="Arial" w:cs="Arial"/>
              <w:color w:val="000000"/>
              <w:sz w:val="10"/>
              <w:szCs w:val="10"/>
              <w:lang w:val="en-GB"/>
            </w:rPr>
            <w:br/>
            <w:t xml:space="preserve">GDPRism © 2024 </w:t>
          </w:r>
          <w:hyperlink r:id="rId4" w:history="1">
            <w:r w:rsidRPr="00963C08">
              <w:rPr>
                <w:rStyle w:val="Hyperlink"/>
                <w:rFonts w:ascii="Arial" w:hAnsi="Arial" w:cs="Arial"/>
                <w:sz w:val="10"/>
                <w:szCs w:val="10"/>
                <w:lang w:val="en-GB"/>
              </w:rPr>
              <w:t>www.gdprism.eu</w:t>
            </w:r>
          </w:hyperlink>
          <w:r>
            <w:rPr>
              <w:rFonts w:ascii="Arial" w:hAnsi="Arial" w:cs="Arial"/>
              <w:color w:val="000000"/>
              <w:sz w:val="10"/>
              <w:szCs w:val="10"/>
              <w:lang w:val="en-GB"/>
            </w:rPr>
            <w:t xml:space="preserve"> </w:t>
          </w:r>
          <w:r>
            <w:rPr>
              <w:rFonts w:ascii="Arial" w:hAnsi="Arial" w:cs="Arial"/>
              <w:color w:val="000000"/>
              <w:sz w:val="10"/>
              <w:szCs w:val="10"/>
              <w:lang w:val="en-GB"/>
            </w:rPr>
            <w:br/>
          </w:r>
          <w:r w:rsidRPr="008B7844">
            <w:rPr>
              <w:rFonts w:ascii="Arial" w:hAnsi="Arial" w:cs="Arial"/>
              <w:color w:val="000000"/>
              <w:sz w:val="10"/>
              <w:szCs w:val="10"/>
              <w:lang w:val="en-GB"/>
            </w:rPr>
            <w:t xml:space="preserve">GDPRism © 2024 is licensed under </w:t>
          </w:r>
          <w:hyperlink r:id="rId5" w:history="1">
            <w:r w:rsidRPr="008B7844">
              <w:rPr>
                <w:rStyle w:val="Hyperlink"/>
                <w:rFonts w:ascii="Arial" w:hAnsi="Arial" w:cs="Arial"/>
                <w:sz w:val="10"/>
                <w:szCs w:val="10"/>
                <w:lang w:val="en-GB"/>
              </w:rPr>
              <w:t>CC BY-SA 4.0</w:t>
            </w:r>
          </w:hyperlink>
          <w:r>
            <w:rPr>
              <w:rFonts w:ascii="Arial" w:hAnsi="Arial" w:cs="Arial"/>
              <w:color w:val="000000"/>
              <w:sz w:val="10"/>
              <w:szCs w:val="10"/>
              <w:lang w:val="en-GB"/>
            </w:rPr>
            <w:br/>
          </w:r>
          <w:r w:rsidRPr="008B7844">
            <w:rPr>
              <w:rFonts w:ascii="Arial" w:hAnsi="Arial" w:cs="Arial"/>
              <w:color w:val="000000"/>
              <w:sz w:val="10"/>
              <w:szCs w:val="10"/>
              <w:lang w:val="en-GB"/>
            </w:rPr>
            <w:t xml:space="preserve">GDPRism © 2024 ist lizenziert unter </w:t>
          </w:r>
          <w:hyperlink r:id="rId6" w:history="1">
            <w:r w:rsidRPr="008B7844">
              <w:rPr>
                <w:rStyle w:val="Hyperlink"/>
                <w:rFonts w:ascii="Arial" w:hAnsi="Arial" w:cs="Arial"/>
                <w:sz w:val="10"/>
                <w:szCs w:val="10"/>
                <w:lang w:val="en-GB"/>
              </w:rPr>
              <w:t>CC BY-SA 4.0</w:t>
            </w:r>
          </w:hyperlink>
          <w:r>
            <w:rPr>
              <w:rFonts w:ascii="Arial" w:hAnsi="Arial" w:cs="Arial"/>
              <w:color w:val="000000"/>
              <w:sz w:val="10"/>
              <w:szCs w:val="10"/>
              <w:lang w:val="en-GB"/>
            </w:rPr>
            <w:br/>
          </w:r>
          <w:r w:rsidRPr="008B7844">
            <w:rPr>
              <w:rFonts w:ascii="Arial" w:hAnsi="Arial" w:cs="Arial"/>
              <w:color w:val="000000"/>
              <w:sz w:val="10"/>
              <w:szCs w:val="10"/>
              <w:lang w:val="en-GB"/>
            </w:rPr>
            <w:t xml:space="preserve">GDPRism © 2024 με άδεια χρήσης </w:t>
          </w:r>
          <w:hyperlink r:id="rId7" w:history="1">
            <w:r w:rsidRPr="008B7844">
              <w:rPr>
                <w:rStyle w:val="Hyperlink"/>
                <w:rFonts w:ascii="Arial" w:hAnsi="Arial" w:cs="Arial"/>
                <w:sz w:val="10"/>
                <w:szCs w:val="10"/>
                <w:lang w:val="en-GB"/>
              </w:rPr>
              <w:t>CC BY-SA 4.0</w:t>
            </w:r>
          </w:hyperlink>
        </w:p>
      </w:tc>
    </w:tr>
  </w:tbl>
  <w:p w14:paraId="7C66CDC6" w14:textId="77777777" w:rsidR="00DC1344" w:rsidRPr="000E2AE2" w:rsidRDefault="00DC1344" w:rsidP="000E2AE2">
    <w:pPr>
      <w:pStyle w:val="Fuzeile"/>
      <w:rPr>
        <w:rFonts w:ascii="Arial" w:hAnsi="Arial" w:cs="Arial"/>
        <w:sz w:val="10"/>
        <w:szCs w:val="1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4782" w14:textId="77777777" w:rsidR="000E2AE2" w:rsidRDefault="000E2A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8097" w14:textId="77777777" w:rsidR="00805F7D" w:rsidRDefault="00805F7D">
      <w:pPr>
        <w:spacing w:after="0" w:line="240" w:lineRule="auto"/>
      </w:pPr>
      <w:r>
        <w:separator/>
      </w:r>
    </w:p>
  </w:footnote>
  <w:footnote w:type="continuationSeparator" w:id="0">
    <w:p w14:paraId="1EE3FF6A" w14:textId="77777777" w:rsidR="00805F7D" w:rsidRDefault="00805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B44" w14:textId="77777777" w:rsidR="000E2AE2" w:rsidRDefault="000E2A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F122" w14:textId="77777777" w:rsidR="00DC1344"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485E7B32" wp14:editId="6BA912D7">
          <wp:extent cx="1154057" cy="317264"/>
          <wp:effectExtent l="0" t="0" r="0" b="0"/>
          <wp:docPr id="1774401211" name="image2.png" descr="Ein Bild, das Kreis,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png" descr="Ein Bild, das Kreis, Grafiken enthält.&#10;&#10;Automatisch generierte Beschreibung"/>
                  <pic:cNvPicPr preferRelativeResize="0"/>
                </pic:nvPicPr>
                <pic:blipFill>
                  <a:blip r:embed="rId1"/>
                  <a:srcRect/>
                  <a:stretch>
                    <a:fillRect/>
                  </a:stretch>
                </pic:blipFill>
                <pic:spPr>
                  <a:xfrm>
                    <a:off x="0" y="0"/>
                    <a:ext cx="1154057" cy="31726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0627" w14:textId="77777777" w:rsidR="000E2AE2" w:rsidRDefault="000E2A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BFB"/>
    <w:multiLevelType w:val="multilevel"/>
    <w:tmpl w:val="5CA0E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775477"/>
    <w:multiLevelType w:val="multilevel"/>
    <w:tmpl w:val="40043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256803"/>
    <w:multiLevelType w:val="multilevel"/>
    <w:tmpl w:val="05D63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D6332F"/>
    <w:multiLevelType w:val="multilevel"/>
    <w:tmpl w:val="BA60A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DA1BCA"/>
    <w:multiLevelType w:val="multilevel"/>
    <w:tmpl w:val="A57C1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CE2F6B"/>
    <w:multiLevelType w:val="multilevel"/>
    <w:tmpl w:val="BF0A7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5725355">
    <w:abstractNumId w:val="3"/>
  </w:num>
  <w:num w:numId="2" w16cid:durableId="1822232546">
    <w:abstractNumId w:val="5"/>
  </w:num>
  <w:num w:numId="3" w16cid:durableId="30619525">
    <w:abstractNumId w:val="1"/>
  </w:num>
  <w:num w:numId="4" w16cid:durableId="1096748555">
    <w:abstractNumId w:val="0"/>
  </w:num>
  <w:num w:numId="5" w16cid:durableId="185872628">
    <w:abstractNumId w:val="4"/>
  </w:num>
  <w:num w:numId="6" w16cid:durableId="1346203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44"/>
    <w:rsid w:val="000E2AE2"/>
    <w:rsid w:val="00805F7D"/>
    <w:rsid w:val="00900639"/>
    <w:rsid w:val="00DC1344"/>
    <w:rsid w:val="00F119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59F8"/>
  <w15:docId w15:val="{5A4F4FDE-5BBE-4609-9B0A-96D67601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1D50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5036"/>
  </w:style>
  <w:style w:type="paragraph" w:styleId="Fuzeile">
    <w:name w:val="footer"/>
    <w:basedOn w:val="Standard"/>
    <w:link w:val="FuzeileZchn"/>
    <w:uiPriority w:val="99"/>
    <w:unhideWhenUsed/>
    <w:rsid w:val="001D50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5036"/>
  </w:style>
  <w:style w:type="character" w:styleId="Hyperlink">
    <w:name w:val="Hyperlink"/>
    <w:basedOn w:val="Absatz-Standardschriftart"/>
    <w:uiPriority w:val="99"/>
    <w:unhideWhenUsed/>
    <w:rsid w:val="00F95EBC"/>
    <w:rPr>
      <w:color w:val="0563C1" w:themeColor="hyperlink"/>
      <w:u w:val="single"/>
    </w:rPr>
  </w:style>
  <w:style w:type="character" w:styleId="NichtaufgelsteErwhnung">
    <w:name w:val="Unresolved Mention"/>
    <w:basedOn w:val="Absatz-Standardschriftart"/>
    <w:uiPriority w:val="99"/>
    <w:semiHidden/>
    <w:unhideWhenUsed/>
    <w:rsid w:val="00F95EBC"/>
    <w:rPr>
      <w:color w:val="605E5C"/>
      <w:shd w:val="clear" w:color="auto" w:fill="E1DFDD"/>
    </w:rPr>
  </w:style>
  <w:style w:type="table" w:styleId="Tabellenraster">
    <w:name w:val="Table Grid"/>
    <w:basedOn w:val="NormaleTabelle"/>
    <w:uiPriority w:val="39"/>
    <w:rsid w:val="00F95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F33AC"/>
    <w:pPr>
      <w:ind w:left="720"/>
      <w:contextualSpacing/>
    </w:p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3" w:type="dxa"/>
        <w:left w:w="108" w:type="dxa"/>
        <w:bottom w:w="113"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2.png"/><Relationship Id="rId6" Type="http://schemas.openxmlformats.org/officeDocument/2006/relationships/hyperlink" Target="https://creativecommons.org/licenses/by-sa/4.0/" TargetMode="External"/><Relationship Id="rId5" Type="http://schemas.openxmlformats.org/officeDocument/2006/relationships/hyperlink" Target="https://creativecommons.org/licenses/by-sa/4.0/" TargetMode="External"/><Relationship Id="rId4" Type="http://schemas.openxmlformats.org/officeDocument/2006/relationships/hyperlink" Target="http://www.gdprism.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G2fXVFNKadPFXg8EnMnhFMjXA==">CgMxLjA4AHIhMWlBY0pkY0ZpbGtCM05vNG1UYWdpNnoxdWNyWUFUajRo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5714</Characters>
  <Application>Microsoft Office Word</Application>
  <DocSecurity>0</DocSecurity>
  <Lines>238</Lines>
  <Paragraphs>100</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Nübling</dc:creator>
  <cp:keywords>, docId:21249026BB4154DBC2746839EFCB5922</cp:keywords>
  <cp:lastModifiedBy>Daniel Nübling</cp:lastModifiedBy>
  <cp:revision>3</cp:revision>
  <dcterms:created xsi:type="dcterms:W3CDTF">2023-10-04T08:29:00Z</dcterms:created>
  <dcterms:modified xsi:type="dcterms:W3CDTF">2024-01-24T08:15:00Z</dcterms:modified>
</cp:coreProperties>
</file>